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741n3hei8mp9"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w:t>
        <w:tab/>
        <w:t xml:space="preserve">The Supplier shall hold the following standard insurance cover from the Framework Start Date in accordance with this Schedule: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 professional indemnity insurance with cover (for a single event or a series of related events and in the aggregate) of not less than the following for each lot: </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1: Fifteen million pounds sterling (£15,000,000);</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2: One hundred million pounds sterling (£100,000,000);</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3: One hundred and fifty million pounds sterling (£150,000,000); </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4a: One hundred and fifty million pounds sterling (£150,000,000); </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4b: One hundred and fifty million pounds sterling (£150,000,000); </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4c: One hundred and fifty million pounds sterling (£150,000,000); </w:t>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tabs>
          <w:tab w:val="left" w:leader="none" w:pos="142"/>
        </w:tabs>
        <w:spacing w:after="200" w:before="120" w:lineRule="auto"/>
        <w:ind w:left="12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5: One hundred and fifty million pounds sterling (£150,000,000).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1.2 public liability insurance with cover (for a single event or a series of related events and in the aggregate) of not less than ten million pounds sterling (£10,000,000); and</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sz w:val="24"/>
          <w:szCs w:val="24"/>
          <w:rtl w:val="0"/>
        </w:rPr>
        <w:t xml:space="preserve">1.3 employers’ liability insurance with cover (for a single event or a series of related events and in the aggregate) of not less than ten million pounds sterling (£10,000,000).</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5">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lowerLetter"/>
      <w:lvlText w:val="(%1)"/>
      <w:lvlJc w:val="left"/>
      <w:pPr>
        <w:ind w:left="1778"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